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2D" w:rsidRPr="009D3429" w:rsidRDefault="00B2492D" w:rsidP="002F771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432F50">
        <w:rPr>
          <w:rFonts w:ascii="Palatino Linotype" w:hAnsi="Palatino Linotype" w:cs="Arial"/>
          <w:b/>
        </w:rPr>
        <w:t>TRIGÉSIMA SEXTA</w:t>
      </w:r>
      <w:r w:rsidR="00AC0EBE" w:rsidRPr="009D3429">
        <w:rPr>
          <w:rFonts w:ascii="Palatino Linotype" w:hAnsi="Palatino Linotype" w:cs="Arial"/>
          <w:b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SESIÓN ORDINARIA DE </w:t>
      </w:r>
      <w:r w:rsidR="00432F50">
        <w:rPr>
          <w:rFonts w:ascii="Palatino Linotype" w:hAnsi="Palatino Linotype" w:cs="Arial"/>
          <w:b/>
        </w:rPr>
        <w:t xml:space="preserve">TRES DE OCTUBRE </w:t>
      </w:r>
      <w:r w:rsidR="00AC0EBE" w:rsidRPr="009D3429">
        <w:rPr>
          <w:rFonts w:ascii="Palatino Linotype" w:hAnsi="Palatino Linotype" w:cs="Arial"/>
          <w:b/>
        </w:rPr>
        <w:t>DE DOS MIL DIECIOCHO</w:t>
      </w:r>
      <w:r w:rsidRPr="009D3429">
        <w:rPr>
          <w:rFonts w:ascii="Palatino Linotype" w:hAnsi="Palatino Linotype" w:cs="Arial"/>
          <w:b/>
        </w:rPr>
        <w:t xml:space="preserve">, EN </w:t>
      </w:r>
      <w:r w:rsidR="00432F50">
        <w:rPr>
          <w:rFonts w:ascii="Palatino Linotype" w:hAnsi="Palatino Linotype" w:cs="Arial"/>
          <w:b/>
        </w:rPr>
        <w:t>LOS</w:t>
      </w:r>
      <w:r w:rsidRPr="009D3429">
        <w:rPr>
          <w:rFonts w:ascii="Palatino Linotype" w:hAnsi="Palatino Linotype" w:cs="Arial"/>
          <w:b/>
        </w:rPr>
        <w:t xml:space="preserve"> RECURSO</w:t>
      </w:r>
      <w:r w:rsidR="00432F50">
        <w:rPr>
          <w:rFonts w:ascii="Palatino Linotype" w:hAnsi="Palatino Linotype" w:cs="Arial"/>
          <w:b/>
        </w:rPr>
        <w:t>S</w:t>
      </w:r>
      <w:r w:rsidRPr="009D3429">
        <w:rPr>
          <w:rFonts w:ascii="Palatino Linotype" w:hAnsi="Palatino Linotype" w:cs="Arial"/>
          <w:b/>
        </w:rPr>
        <w:t xml:space="preserve"> DE REVISIÓN </w:t>
      </w:r>
      <w:r w:rsidR="00432F50" w:rsidRPr="00432F50">
        <w:rPr>
          <w:rFonts w:ascii="Palatino Linotype" w:eastAsia="Calibri" w:hAnsi="Palatino Linotype" w:cs="Arial"/>
          <w:b/>
          <w:color w:val="000000"/>
        </w:rPr>
        <w:t>02848/INFOEM/IP/RR/2018</w:t>
      </w:r>
      <w:r w:rsidR="00432F50">
        <w:rPr>
          <w:rFonts w:ascii="Palatino Linotype" w:eastAsia="Calibri" w:hAnsi="Palatino Linotype" w:cs="Arial"/>
          <w:b/>
          <w:color w:val="000000"/>
        </w:rPr>
        <w:t xml:space="preserve"> Y</w:t>
      </w:r>
      <w:r w:rsidR="00432F50" w:rsidRPr="00432F50">
        <w:rPr>
          <w:rFonts w:ascii="Palatino Linotype" w:eastAsia="Calibri" w:hAnsi="Palatino Linotype" w:cs="Arial"/>
          <w:b/>
          <w:color w:val="000000"/>
        </w:rPr>
        <w:t xml:space="preserve"> 03027/INFOEM/IP/RR/2018</w:t>
      </w:r>
      <w:r w:rsidR="00432F50">
        <w:rPr>
          <w:rFonts w:ascii="Palatino Linotype" w:eastAsia="Calibri" w:hAnsi="Palatino Linotype" w:cs="Arial"/>
          <w:b/>
          <w:color w:val="000000"/>
        </w:rPr>
        <w:t xml:space="preserve"> ACUMULADOS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6A1F35" w:rsidRPr="009D3429" w:rsidRDefault="006A1F35" w:rsidP="002F7710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:rsidR="00B2492D" w:rsidRPr="009D3429" w:rsidRDefault="00B2492D" w:rsidP="002F7710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</w:t>
      </w:r>
      <w:r w:rsidR="00432F50">
        <w:rPr>
          <w:rFonts w:ascii="Palatino Linotype" w:hAnsi="Palatino Linotype" w:cs="Arial"/>
        </w:rPr>
        <w:t>los</w:t>
      </w:r>
      <w:r w:rsidRPr="009D3429">
        <w:rPr>
          <w:rFonts w:ascii="Palatino Linotype" w:hAnsi="Palatino Linotype" w:cs="Arial"/>
        </w:rPr>
        <w:t xml:space="preserve"> recurso</w:t>
      </w:r>
      <w:r w:rsidR="00432F50">
        <w:rPr>
          <w:rFonts w:ascii="Palatino Linotype" w:hAnsi="Palatino Linotype" w:cs="Arial"/>
        </w:rPr>
        <w:t>s</w:t>
      </w:r>
      <w:r w:rsidRPr="009D3429">
        <w:rPr>
          <w:rFonts w:ascii="Palatino Linotype" w:hAnsi="Palatino Linotype" w:cs="Arial"/>
        </w:rPr>
        <w:t xml:space="preserve"> de revisión </w:t>
      </w:r>
      <w:r w:rsidR="002F7710" w:rsidRPr="002F7710">
        <w:rPr>
          <w:rFonts w:ascii="Palatino Linotype" w:eastAsia="Calibri" w:hAnsi="Palatino Linotype" w:cs="Arial"/>
          <w:b/>
          <w:color w:val="000000"/>
        </w:rPr>
        <w:t xml:space="preserve">02848/INFOEM/IP/RR/2018 </w:t>
      </w:r>
      <w:r w:rsidR="002F7710" w:rsidRPr="002F7710">
        <w:rPr>
          <w:rFonts w:ascii="Palatino Linotype" w:eastAsia="Calibri" w:hAnsi="Palatino Linotype" w:cs="Arial"/>
          <w:color w:val="000000"/>
        </w:rPr>
        <w:t>y</w:t>
      </w:r>
      <w:r w:rsidR="002F7710" w:rsidRPr="002F7710">
        <w:rPr>
          <w:rFonts w:ascii="Palatino Linotype" w:eastAsia="Calibri" w:hAnsi="Palatino Linotype" w:cs="Arial"/>
          <w:b/>
          <w:color w:val="000000"/>
        </w:rPr>
        <w:t xml:space="preserve"> 03027/INFOEM/IP/RR/2018 </w:t>
      </w:r>
      <w:r w:rsidR="002F7710" w:rsidRPr="002F7710">
        <w:rPr>
          <w:rFonts w:ascii="Palatino Linotype" w:eastAsia="Calibri" w:hAnsi="Palatino Linotype" w:cs="Arial"/>
          <w:color w:val="000000"/>
        </w:rPr>
        <w:t>acumulados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9D7BAE" w:rsidRPr="009D3429">
        <w:rPr>
          <w:rFonts w:ascii="Palatino Linotype" w:hAnsi="Palatino Linotype" w:cs="Arial"/>
        </w:rPr>
        <w:t xml:space="preserve">el </w:t>
      </w:r>
      <w:r w:rsidRPr="009D3429">
        <w:rPr>
          <w:rFonts w:ascii="Palatino Linotype" w:hAnsi="Palatino Linotype" w:cs="Arial"/>
        </w:rPr>
        <w:t>Comisionad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  <w:b/>
        </w:rPr>
        <w:t xml:space="preserve"> </w:t>
      </w:r>
      <w:r w:rsidR="009D7BAE" w:rsidRPr="009D3429">
        <w:rPr>
          <w:rFonts w:ascii="Palatino Linotype" w:hAnsi="Palatino Linotype" w:cs="Arial"/>
          <w:b/>
        </w:rPr>
        <w:t>JOSÉ GUADALUPE LUNA HERNÁNDEZ</w:t>
      </w:r>
      <w:r w:rsidRPr="009D3429">
        <w:rPr>
          <w:rFonts w:ascii="Palatino Linotype" w:hAnsi="Palatino Linotype" w:cs="Arial"/>
          <w:b/>
        </w:rPr>
        <w:t>,</w:t>
      </w:r>
      <w:r w:rsidRPr="009D3429">
        <w:rPr>
          <w:rFonts w:ascii="Palatino Linotype" w:hAnsi="Palatino Linotype" w:cs="Arial"/>
        </w:rPr>
        <w:t xml:space="preserve"> que es del tenor siguiente:</w:t>
      </w:r>
    </w:p>
    <w:p w:rsidR="006A1F35" w:rsidRPr="009D3429" w:rsidRDefault="006A1F35" w:rsidP="002F7710">
      <w:pPr>
        <w:spacing w:line="360" w:lineRule="auto"/>
        <w:jc w:val="both"/>
        <w:rPr>
          <w:rFonts w:ascii="Palatino Linotype" w:hAnsi="Palatino Linotype" w:cs="Arial"/>
        </w:rPr>
      </w:pPr>
    </w:p>
    <w:p w:rsidR="00AC0EBE" w:rsidRPr="009D3429" w:rsidRDefault="00B2492D" w:rsidP="002F7710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revisión en comento; empero, estim</w:t>
      </w:r>
      <w:r w:rsidR="00A05D38">
        <w:rPr>
          <w:rFonts w:ascii="Palatino Linotype" w:hAnsi="Palatino Linotype"/>
        </w:rPr>
        <w:t>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 w:rsidR="00B71A4B"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AC0EBE" w:rsidRPr="009D3429" w:rsidRDefault="00AC0EBE" w:rsidP="002F7710">
      <w:pPr>
        <w:spacing w:line="360" w:lineRule="auto"/>
        <w:jc w:val="both"/>
        <w:rPr>
          <w:rFonts w:ascii="Palatino Linotype" w:hAnsi="Palatino Linotype"/>
        </w:rPr>
      </w:pPr>
    </w:p>
    <w:p w:rsidR="002F7710" w:rsidRDefault="00B2492D" w:rsidP="002F7710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2F7710">
        <w:rPr>
          <w:rFonts w:ascii="Palatino Linotype" w:hAnsi="Palatino Linotype"/>
        </w:rPr>
        <w:t>el</w:t>
      </w:r>
      <w:r w:rsidRPr="009D3429">
        <w:rPr>
          <w:rFonts w:ascii="Palatino Linotype" w:hAnsi="Palatino Linotype"/>
        </w:rPr>
        <w:t xml:space="preserve"> particular requirió del </w:t>
      </w:r>
      <w:r w:rsidRPr="009D3429">
        <w:rPr>
          <w:rFonts w:ascii="Palatino Linotype" w:hAnsi="Palatino Linotype"/>
          <w:b/>
        </w:rPr>
        <w:t>SUJETO OBLIGADO</w:t>
      </w:r>
      <w:r w:rsidRPr="009D3429">
        <w:rPr>
          <w:rFonts w:ascii="Palatino Linotype" w:hAnsi="Palatino Linotype"/>
        </w:rPr>
        <w:t xml:space="preserve">, </w:t>
      </w:r>
      <w:r w:rsidR="00AC0EBE" w:rsidRPr="009D3429">
        <w:rPr>
          <w:rFonts w:ascii="Palatino Linotype" w:hAnsi="Palatino Linotype"/>
        </w:rPr>
        <w:t xml:space="preserve">se le </w:t>
      </w:r>
      <w:r w:rsidR="002F7710">
        <w:rPr>
          <w:rFonts w:ascii="Palatino Linotype" w:hAnsi="Palatino Linotype"/>
        </w:rPr>
        <w:t xml:space="preserve">proporcionara </w:t>
      </w:r>
      <w:r w:rsidR="002F7710">
        <w:rPr>
          <w:rFonts w:ascii="Palatino Linotype" w:hAnsi="Palatino Linotype"/>
        </w:rPr>
        <w:lastRenderedPageBreak/>
        <w:t>copia simple vía Sistema de Acceso a la Información Mexiquense (SAIMEX) la información que a continuación se desagrega:</w:t>
      </w:r>
    </w:p>
    <w:p w:rsidR="002F7710" w:rsidRDefault="002F7710" w:rsidP="002F7710">
      <w:pPr>
        <w:spacing w:line="360" w:lineRule="auto"/>
        <w:jc w:val="both"/>
        <w:rPr>
          <w:rFonts w:ascii="Palatino Linotype" w:hAnsi="Palatino Linotype"/>
        </w:rPr>
      </w:pPr>
    </w:p>
    <w:p w:rsidR="002F7710" w:rsidRPr="002F7710" w:rsidRDefault="00A05D38" w:rsidP="002F771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Palatino Linotype" w:eastAsia="Calibri" w:hAnsi="Palatino Linotype" w:cs="Arial"/>
          <w:lang w:val="es-ES"/>
        </w:rPr>
      </w:pPr>
      <w:r>
        <w:rPr>
          <w:rFonts w:ascii="Palatino Linotype" w:eastAsia="Calibri" w:hAnsi="Palatino Linotype" w:cs="Arial"/>
          <w:lang w:val="es-ES"/>
        </w:rPr>
        <w:t xml:space="preserve">Nómina de la </w:t>
      </w:r>
      <w:r w:rsidR="002F7710" w:rsidRPr="002F7710">
        <w:rPr>
          <w:rFonts w:ascii="Palatino Linotype" w:eastAsia="Calibri" w:hAnsi="Palatino Linotype" w:cs="Arial"/>
          <w:lang w:val="es-ES"/>
        </w:rPr>
        <w:t>1ª y 2ª quincena de julio 2018 de la titular de la Secretaria Técnica y trabajadores sindicalizados del Ayuntamiento de Ecatepec</w:t>
      </w:r>
    </w:p>
    <w:p w:rsidR="002F7710" w:rsidRDefault="002F7710" w:rsidP="002F7710">
      <w:pPr>
        <w:spacing w:line="360" w:lineRule="auto"/>
        <w:jc w:val="both"/>
        <w:rPr>
          <w:rFonts w:ascii="Palatino Linotype" w:eastAsia="Calibri" w:hAnsi="Palatino Linotype" w:cs="Arial"/>
          <w:lang w:val="es-ES"/>
        </w:rPr>
      </w:pPr>
    </w:p>
    <w:p w:rsidR="002F7710" w:rsidRPr="002F7710" w:rsidRDefault="002F7710" w:rsidP="002F771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Palatino Linotype" w:eastAsia="Calibri" w:hAnsi="Palatino Linotype" w:cs="Arial"/>
          <w:lang w:val="es-ES"/>
        </w:rPr>
      </w:pPr>
      <w:r w:rsidRPr="002F7710">
        <w:rPr>
          <w:rFonts w:ascii="Palatino Linotype" w:eastAsia="Calibri" w:hAnsi="Palatino Linotype" w:cs="Arial"/>
          <w:lang w:val="es-ES"/>
        </w:rPr>
        <w:t>Oficio de trámite a la solicitud enviado y recibido al servidor público habilitado</w:t>
      </w:r>
    </w:p>
    <w:p w:rsidR="002F7710" w:rsidRDefault="002F7710" w:rsidP="002F7710">
      <w:pPr>
        <w:spacing w:line="360" w:lineRule="auto"/>
        <w:jc w:val="both"/>
        <w:rPr>
          <w:rFonts w:ascii="Palatino Linotype" w:eastAsia="Calibri" w:hAnsi="Palatino Linotype" w:cs="Arial"/>
          <w:lang w:val="es-ES"/>
        </w:rPr>
      </w:pPr>
    </w:p>
    <w:p w:rsidR="00A51F16" w:rsidRDefault="00B2492D" w:rsidP="002F7710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 w:rsidRPr="009D3429">
        <w:rPr>
          <w:rFonts w:ascii="Palatino Linotype" w:hAnsi="Palatino Linotype" w:cs="Arial"/>
        </w:rPr>
        <w:t xml:space="preserve"> </w:t>
      </w:r>
      <w:r w:rsidR="005555E8">
        <w:rPr>
          <w:rFonts w:ascii="Palatino Linotype" w:hAnsi="Palatino Linotype" w:cs="Arial"/>
        </w:rPr>
        <w:t>proporcionó documentos consistentes en oficios mediante los cuales presuntamente remitía la información requerida</w:t>
      </w:r>
      <w:r w:rsidR="00A05D38">
        <w:rPr>
          <w:rFonts w:ascii="Palatino Linotype" w:hAnsi="Palatino Linotype" w:cs="Arial"/>
        </w:rPr>
        <w:t>;</w:t>
      </w:r>
      <w:r w:rsidR="005555E8">
        <w:rPr>
          <w:rFonts w:ascii="Palatino Linotype" w:hAnsi="Palatino Linotype" w:cs="Arial"/>
        </w:rPr>
        <w:t xml:space="preserve"> sin embargo, solo se advierte un documento </w:t>
      </w:r>
      <w:r w:rsidR="005555E8" w:rsidRPr="00A05D38">
        <w:rPr>
          <w:rFonts w:ascii="Palatino Linotype" w:hAnsi="Palatino Linotype" w:cs="Arial"/>
          <w:i/>
        </w:rPr>
        <w:t>ad hoc</w:t>
      </w:r>
      <w:r w:rsidR="005555E8">
        <w:rPr>
          <w:rFonts w:ascii="Palatino Linotype" w:hAnsi="Palatino Linotype" w:cs="Arial"/>
        </w:rPr>
        <w:t xml:space="preserve"> relativo a una tabla gr</w:t>
      </w:r>
      <w:r w:rsidR="00A05D38">
        <w:rPr>
          <w:rFonts w:ascii="Palatino Linotype" w:hAnsi="Palatino Linotype" w:cs="Arial"/>
        </w:rPr>
        <w:t>á</w:t>
      </w:r>
      <w:r w:rsidR="005555E8">
        <w:rPr>
          <w:rFonts w:ascii="Palatino Linotype" w:hAnsi="Palatino Linotype" w:cs="Arial"/>
        </w:rPr>
        <w:t xml:space="preserve">fica misma que se adjunta enseguida: </w:t>
      </w:r>
    </w:p>
    <w:p w:rsidR="005555E8" w:rsidRDefault="005555E8" w:rsidP="002F7710">
      <w:pPr>
        <w:spacing w:line="360" w:lineRule="auto"/>
        <w:jc w:val="both"/>
        <w:rPr>
          <w:rFonts w:ascii="Palatino Linotype" w:hAnsi="Palatino Linotype" w:cs="Arial"/>
        </w:rPr>
      </w:pPr>
      <w:r>
        <w:rPr>
          <w:noProof/>
          <w:lang w:eastAsia="es-MX"/>
        </w:rPr>
        <w:drawing>
          <wp:inline distT="0" distB="0" distL="0" distR="0" wp14:anchorId="020AAE69" wp14:editId="0183D30C">
            <wp:extent cx="5791835" cy="20046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5E8" w:rsidRDefault="005555E8" w:rsidP="002F7710">
      <w:pPr>
        <w:spacing w:line="360" w:lineRule="auto"/>
        <w:jc w:val="both"/>
        <w:rPr>
          <w:rFonts w:ascii="Palatino Linotype" w:hAnsi="Palatino Linotype" w:cs="Arial"/>
        </w:rPr>
      </w:pPr>
    </w:p>
    <w:p w:rsidR="00B2492D" w:rsidRPr="009D3429" w:rsidRDefault="00B2492D" w:rsidP="002F7710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Inconforme con </w:t>
      </w:r>
      <w:r w:rsidR="005555E8">
        <w:rPr>
          <w:rFonts w:ascii="Palatino Linotype" w:hAnsi="Palatino Linotype" w:cs="Arial"/>
        </w:rPr>
        <w:t>ello</w:t>
      </w:r>
      <w:r w:rsidRPr="009D3429">
        <w:rPr>
          <w:rFonts w:ascii="Palatino Linotype" w:hAnsi="Palatino Linotype" w:cs="Arial"/>
        </w:rPr>
        <w:t xml:space="preserve">, </w:t>
      </w:r>
      <w:r w:rsidR="005555E8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Pr="009D3429">
        <w:rPr>
          <w:rFonts w:ascii="Palatino Linotype" w:hAnsi="Palatino Linotype" w:cs="Arial"/>
        </w:rPr>
        <w:t xml:space="preserve">interpuso el recurso de revisión de mérito, </w:t>
      </w:r>
      <w:r w:rsidR="00472B04" w:rsidRPr="009D3429">
        <w:rPr>
          <w:rFonts w:ascii="Palatino Linotype" w:hAnsi="Palatino Linotype" w:cs="Arial"/>
        </w:rPr>
        <w:t xml:space="preserve">inconformándose esencialmente </w:t>
      </w:r>
      <w:r w:rsidR="009110E4" w:rsidRPr="009D3429">
        <w:rPr>
          <w:rFonts w:ascii="Palatino Linotype" w:hAnsi="Palatino Linotype" w:cs="Arial"/>
        </w:rPr>
        <w:t>de</w:t>
      </w:r>
      <w:r w:rsidRPr="009D3429">
        <w:rPr>
          <w:rFonts w:ascii="Palatino Linotype" w:hAnsi="Palatino Linotype" w:cs="Arial"/>
        </w:rPr>
        <w:t xml:space="preserve"> l</w:t>
      </w:r>
      <w:r w:rsidR="005555E8">
        <w:rPr>
          <w:rFonts w:ascii="Palatino Linotype" w:hAnsi="Palatino Linotype" w:cs="Arial"/>
        </w:rPr>
        <w:t xml:space="preserve">os documentos remitidos en la </w:t>
      </w:r>
      <w:r w:rsidRPr="009D3429">
        <w:rPr>
          <w:rFonts w:ascii="Palatino Linotype" w:hAnsi="Palatino Linotype" w:cs="Arial"/>
        </w:rPr>
        <w:t xml:space="preserve">respuesta otorgada </w:t>
      </w:r>
      <w:r w:rsidR="00086CEA" w:rsidRPr="009D3429">
        <w:rPr>
          <w:rFonts w:ascii="Palatino Linotype" w:hAnsi="Palatino Linotype" w:cs="Arial"/>
        </w:rPr>
        <w:t xml:space="preserve">por </w:t>
      </w:r>
      <w:r w:rsidR="00086CEA" w:rsidRPr="009D3429">
        <w:rPr>
          <w:rFonts w:ascii="Palatino Linotype" w:hAnsi="Palatino Linotype" w:cs="Arial"/>
          <w:b/>
        </w:rPr>
        <w:t>EL SUJETO OBLIGADO</w:t>
      </w:r>
      <w:r w:rsidR="00472B04" w:rsidRPr="009D3429">
        <w:rPr>
          <w:rFonts w:ascii="Palatino Linotype" w:hAnsi="Palatino Linotype" w:cs="Arial"/>
          <w:b/>
        </w:rPr>
        <w:t>.</w:t>
      </w:r>
    </w:p>
    <w:p w:rsidR="005555E8" w:rsidRDefault="00B2492D" w:rsidP="002F7710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lastRenderedPageBreak/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proofErr w:type="spellStart"/>
      <w:r w:rsidRPr="009D3429">
        <w:rPr>
          <w:rFonts w:ascii="Palatino Linotype" w:hAnsi="Palatino Linotype"/>
          <w:b/>
        </w:rPr>
        <w:t>SAIMEX</w:t>
      </w:r>
      <w:proofErr w:type="spellEnd"/>
      <w:r w:rsidRPr="009D3429">
        <w:rPr>
          <w:rFonts w:ascii="Palatino Linotype" w:hAnsi="Palatino Linotype" w:cs="Arial"/>
        </w:rPr>
        <w:t xml:space="preserve">, la Ponencia </w:t>
      </w:r>
      <w:proofErr w:type="spellStart"/>
      <w:r w:rsidRPr="009D3429">
        <w:rPr>
          <w:rFonts w:ascii="Palatino Linotype" w:hAnsi="Palatino Linotype" w:cs="Arial"/>
        </w:rPr>
        <w:t>Resolut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</w:rPr>
        <w:t>ra</w:t>
      </w:r>
      <w:proofErr w:type="spellEnd"/>
      <w:r w:rsidRPr="009D3429">
        <w:rPr>
          <w:rFonts w:ascii="Palatino Linotype" w:hAnsi="Palatino Linotype" w:cs="Arial"/>
        </w:rPr>
        <w:t xml:space="preserve">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472B04" w:rsidRPr="009D3429">
        <w:rPr>
          <w:rFonts w:ascii="Palatino Linotype" w:hAnsi="Palatino Linotype" w:cs="Arial"/>
        </w:rPr>
        <w:t>ordenándole hacer entrega vía S</w:t>
      </w:r>
      <w:r w:rsidR="002D3E44">
        <w:rPr>
          <w:rFonts w:ascii="Palatino Linotype" w:hAnsi="Palatino Linotype" w:cs="Arial"/>
        </w:rPr>
        <w:t>istema de Acceso a la Información Mexiquense</w:t>
      </w:r>
      <w:r w:rsidR="005555E8">
        <w:rPr>
          <w:rFonts w:ascii="Palatino Linotype" w:hAnsi="Palatino Linotype" w:cs="Arial"/>
        </w:rPr>
        <w:t>, de lo siguiente:</w:t>
      </w:r>
    </w:p>
    <w:p w:rsidR="005555E8" w:rsidRDefault="005555E8" w:rsidP="002F7710">
      <w:pPr>
        <w:spacing w:line="360" w:lineRule="auto"/>
        <w:jc w:val="both"/>
        <w:rPr>
          <w:rFonts w:ascii="Palatino Linotype" w:hAnsi="Palatino Linotype" w:cs="Arial"/>
        </w:rPr>
      </w:pPr>
    </w:p>
    <w:p w:rsidR="005555E8" w:rsidRP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5555E8">
        <w:rPr>
          <w:rFonts w:ascii="Palatino Linotype" w:hAnsi="Palatino Linotype" w:cs="Arial"/>
          <w:i/>
          <w:sz w:val="22"/>
        </w:rPr>
        <w:t>a.</w:t>
      </w:r>
      <w:r w:rsidRPr="005555E8">
        <w:rPr>
          <w:rFonts w:ascii="Palatino Linotype" w:hAnsi="Palatino Linotype" w:cs="Arial"/>
          <w:i/>
          <w:sz w:val="22"/>
        </w:rPr>
        <w:tab/>
        <w:t>Del recurso de revisión 02848/INFOEM/IP/RR/2018.</w:t>
      </w:r>
    </w:p>
    <w:p w:rsidR="005555E8" w:rsidRP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5555E8" w:rsidRPr="005555E8" w:rsidRDefault="005555E8" w:rsidP="005555E8">
      <w:pPr>
        <w:ind w:left="1416" w:right="757"/>
        <w:jc w:val="both"/>
        <w:rPr>
          <w:rFonts w:ascii="Palatino Linotype" w:hAnsi="Palatino Linotype" w:cs="Arial"/>
          <w:i/>
          <w:sz w:val="22"/>
        </w:rPr>
      </w:pPr>
      <w:r w:rsidRPr="005555E8">
        <w:rPr>
          <w:rFonts w:ascii="Palatino Linotype" w:hAnsi="Palatino Linotype" w:cs="Arial"/>
          <w:i/>
          <w:sz w:val="22"/>
        </w:rPr>
        <w:t>a)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5555E8">
        <w:rPr>
          <w:rFonts w:ascii="Palatino Linotype" w:hAnsi="Palatino Linotype" w:cs="Arial"/>
          <w:i/>
          <w:sz w:val="22"/>
        </w:rPr>
        <w:t>El acuerdo del Comité de Trasparencia que sustente la versión pública de la información entregada en el informe justificado.</w:t>
      </w:r>
    </w:p>
    <w:p w:rsidR="005555E8" w:rsidRP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5555E8" w:rsidRP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5555E8">
        <w:rPr>
          <w:rFonts w:ascii="Palatino Linotype" w:hAnsi="Palatino Linotype" w:cs="Arial"/>
          <w:i/>
          <w:sz w:val="22"/>
        </w:rPr>
        <w:t>b.</w:t>
      </w:r>
      <w:r w:rsidRPr="005555E8">
        <w:rPr>
          <w:rFonts w:ascii="Palatino Linotype" w:hAnsi="Palatino Linotype" w:cs="Arial"/>
          <w:i/>
          <w:sz w:val="22"/>
        </w:rPr>
        <w:tab/>
        <w:t>Del recurso de revisión 03027/INFOEM/IP/RR/2018.</w:t>
      </w:r>
    </w:p>
    <w:p w:rsidR="005555E8" w:rsidRP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5555E8" w:rsidRPr="005555E8" w:rsidRDefault="005555E8" w:rsidP="005555E8">
      <w:pPr>
        <w:ind w:left="1416" w:right="757"/>
        <w:jc w:val="both"/>
        <w:rPr>
          <w:rFonts w:ascii="Palatino Linotype" w:hAnsi="Palatino Linotype" w:cs="Arial"/>
          <w:i/>
          <w:sz w:val="22"/>
        </w:rPr>
      </w:pPr>
      <w:r w:rsidRPr="005555E8">
        <w:rPr>
          <w:rFonts w:ascii="Palatino Linotype" w:hAnsi="Palatino Linotype" w:cs="Arial"/>
          <w:i/>
          <w:sz w:val="22"/>
        </w:rPr>
        <w:t xml:space="preserve">a) Los recibos de nómina de todos los trabajadores sindicalizados del Municipio de Ecatepec de Morelos de la primera y segunda quincena del mes de julio del dos mil dieciocho (2018). </w:t>
      </w:r>
    </w:p>
    <w:p w:rsidR="005555E8" w:rsidRP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5555E8" w:rsidRPr="005555E8" w:rsidRDefault="005555E8" w:rsidP="005555E8">
      <w:pPr>
        <w:ind w:left="1416" w:right="757"/>
        <w:jc w:val="both"/>
        <w:rPr>
          <w:rFonts w:ascii="Palatino Linotype" w:hAnsi="Palatino Linotype" w:cs="Arial"/>
          <w:i/>
          <w:sz w:val="22"/>
        </w:rPr>
      </w:pPr>
      <w:r w:rsidRPr="005555E8">
        <w:rPr>
          <w:rFonts w:ascii="Palatino Linotype" w:hAnsi="Palatino Linotype" w:cs="Arial"/>
          <w:i/>
          <w:sz w:val="22"/>
        </w:rPr>
        <w:t>b)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5555E8">
        <w:rPr>
          <w:rFonts w:ascii="Palatino Linotype" w:hAnsi="Palatino Linotype" w:cs="Arial"/>
          <w:i/>
          <w:sz w:val="22"/>
        </w:rPr>
        <w:t>El oficio mediante el cual el titular de la unidad de transparencia del sujeto obligado, requirió la información al servidor público habilitado.</w:t>
      </w:r>
    </w:p>
    <w:p w:rsidR="005555E8" w:rsidRDefault="005555E8" w:rsidP="002F7710">
      <w:pPr>
        <w:spacing w:line="360" w:lineRule="auto"/>
        <w:jc w:val="both"/>
        <w:rPr>
          <w:rFonts w:ascii="Palatino Linotype" w:hAnsi="Palatino Linotype" w:cs="Arial"/>
        </w:rPr>
      </w:pPr>
    </w:p>
    <w:p w:rsidR="00B2492D" w:rsidRPr="009D3429" w:rsidRDefault="00B2492D" w:rsidP="002F7710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6A1F35" w:rsidRPr="009D3429" w:rsidRDefault="006A1F35" w:rsidP="002F7710">
      <w:pPr>
        <w:spacing w:line="360" w:lineRule="auto"/>
        <w:jc w:val="both"/>
        <w:rPr>
          <w:rFonts w:ascii="Palatino Linotype" w:hAnsi="Palatino Linotype"/>
        </w:rPr>
      </w:pPr>
    </w:p>
    <w:p w:rsidR="00B2492D" w:rsidRPr="009D3429" w:rsidRDefault="00B2492D" w:rsidP="002F771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Desechar o sobreseer el recurso; </w:t>
      </w:r>
    </w:p>
    <w:p w:rsidR="00B2492D" w:rsidRPr="009D3429" w:rsidRDefault="00B2492D" w:rsidP="002F771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Confirmar la respuesta del sujeto obligado; </w:t>
      </w:r>
    </w:p>
    <w:p w:rsidR="00B2492D" w:rsidRPr="009D3429" w:rsidRDefault="00B2492D" w:rsidP="002F771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  <w:b/>
        </w:rPr>
        <w:t>Revocar o modificar la respuesta del sujeto obligado</w:t>
      </w:r>
      <w:r w:rsidRPr="009D3429">
        <w:rPr>
          <w:rFonts w:ascii="Palatino Linotype" w:hAnsi="Palatino Linotype"/>
        </w:rPr>
        <w:t xml:space="preserve">; y </w:t>
      </w:r>
    </w:p>
    <w:p w:rsidR="00B2492D" w:rsidRPr="009D3429" w:rsidRDefault="00B2492D" w:rsidP="002F771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Ordenar la entrega de la información.</w:t>
      </w:r>
    </w:p>
    <w:p w:rsidR="00472B04" w:rsidRPr="009D3429" w:rsidRDefault="00472B04" w:rsidP="002F7710">
      <w:pPr>
        <w:pStyle w:val="Prrafodelista"/>
        <w:spacing w:line="360" w:lineRule="auto"/>
        <w:jc w:val="both"/>
        <w:rPr>
          <w:rFonts w:ascii="Palatino Linotype" w:hAnsi="Palatino Linotype"/>
        </w:rPr>
      </w:pPr>
    </w:p>
    <w:p w:rsidR="00B2492D" w:rsidRPr="009D3429" w:rsidRDefault="00B2492D" w:rsidP="002F7710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472B04" w:rsidRPr="009D3429" w:rsidRDefault="00472B04" w:rsidP="002F7710">
      <w:pPr>
        <w:spacing w:line="360" w:lineRule="auto"/>
        <w:jc w:val="both"/>
        <w:rPr>
          <w:rFonts w:ascii="Palatino Linotype" w:hAnsi="Palatino Linotype"/>
        </w:rPr>
      </w:pPr>
    </w:p>
    <w:p w:rsidR="005555E8" w:rsidRDefault="005555E8" w:rsidP="005555E8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Así en el presente </w:t>
      </w:r>
      <w:r w:rsidR="002D3E44">
        <w:rPr>
          <w:rFonts w:ascii="Palatino Linotype" w:hAnsi="Palatino Linotype"/>
        </w:rPr>
        <w:t>asunto</w:t>
      </w:r>
      <w:r w:rsidRPr="009D3429">
        <w:rPr>
          <w:rFonts w:ascii="Palatino Linotype" w:hAnsi="Palatino Linotype"/>
        </w:rPr>
        <w:t xml:space="preserve">, en el estudio realizado por la Ponencia </w:t>
      </w:r>
      <w:proofErr w:type="spellStart"/>
      <w:r w:rsidRPr="009D3429">
        <w:rPr>
          <w:rFonts w:ascii="Palatino Linotype" w:hAnsi="Palatino Linotype"/>
        </w:rPr>
        <w:t>Resolutora</w:t>
      </w:r>
      <w:proofErr w:type="spellEnd"/>
      <w:r w:rsidRPr="009D3429">
        <w:rPr>
          <w:rFonts w:ascii="Palatino Linotype" w:hAnsi="Palatino Linotype"/>
        </w:rPr>
        <w:t xml:space="preserve">, </w:t>
      </w:r>
      <w:r w:rsidR="002D3E44">
        <w:rPr>
          <w:rFonts w:ascii="Palatino Linotype" w:hAnsi="Palatino Linotype"/>
        </w:rPr>
        <w:t xml:space="preserve">para el caso del recurso de revisión </w:t>
      </w:r>
      <w:r w:rsidR="002D3E44" w:rsidRPr="002D3E44">
        <w:rPr>
          <w:rFonts w:ascii="Palatino Linotype" w:hAnsi="Palatino Linotype"/>
        </w:rPr>
        <w:t>02848/INFOEM/IP/RR/2018</w:t>
      </w:r>
      <w:r w:rsidR="002D3E44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</w:rPr>
        <w:t xml:space="preserve">se precisa que </w:t>
      </w:r>
      <w:r w:rsidRPr="009D3429">
        <w:rPr>
          <w:rFonts w:ascii="Palatino Linotype" w:hAnsi="Palatino Linotype"/>
          <w:b/>
        </w:rPr>
        <w:t>EL SUJETO OBLIGADO,</w:t>
      </w:r>
      <w:r w:rsidRPr="009D3429">
        <w:rPr>
          <w:rFonts w:ascii="Palatino Linotype" w:hAnsi="Palatino Linotype"/>
        </w:rPr>
        <w:t xml:space="preserve"> si bien </w:t>
      </w:r>
      <w:r w:rsidRPr="009D3429">
        <w:rPr>
          <w:rFonts w:ascii="Palatino Linotype" w:hAnsi="Palatino Linotype"/>
          <w:color w:val="000000" w:themeColor="text1"/>
        </w:rPr>
        <w:t xml:space="preserve">realizó un pronunciamiento tácito a </w:t>
      </w:r>
      <w:r w:rsidRPr="009D3429">
        <w:rPr>
          <w:rFonts w:ascii="Palatino Linotype" w:hAnsi="Palatino Linotype"/>
          <w:b/>
          <w:i/>
          <w:color w:val="000000" w:themeColor="text1"/>
        </w:rPr>
        <w:t>contrario sensu</w:t>
      </w:r>
      <w:r w:rsidRPr="009D3429">
        <w:rPr>
          <w:rFonts w:ascii="Palatino Linotype" w:hAnsi="Palatino Linotype"/>
          <w:color w:val="000000" w:themeColor="text1"/>
        </w:rPr>
        <w:t xml:space="preserve"> de lo peticionado</w:t>
      </w:r>
      <w:r w:rsidR="002D3E44">
        <w:rPr>
          <w:rFonts w:ascii="Palatino Linotype" w:hAnsi="Palatino Linotype"/>
          <w:color w:val="000000" w:themeColor="text1"/>
        </w:rPr>
        <w:t xml:space="preserve"> –pues señaló remitir la información requerida sin anexar la misma a la respuesta-</w:t>
      </w:r>
      <w:r w:rsidRPr="009D3429">
        <w:rPr>
          <w:rFonts w:ascii="Palatino Linotype" w:hAnsi="Palatino Linotype"/>
          <w:color w:val="000000" w:themeColor="text1"/>
        </w:rPr>
        <w:t xml:space="preserve">, </w:t>
      </w:r>
      <w:r>
        <w:rPr>
          <w:rFonts w:ascii="Palatino Linotype" w:hAnsi="Palatino Linotype"/>
          <w:color w:val="000000" w:themeColor="text1"/>
        </w:rPr>
        <w:t xml:space="preserve">también los es que los documentos que colmaron la solicitud de acceso a la información del particular fueron proporcionados hasta el alcance al Informe Justificado rendido por </w:t>
      </w:r>
      <w:r>
        <w:rPr>
          <w:rFonts w:ascii="Palatino Linotype" w:hAnsi="Palatino Linotype"/>
          <w:b/>
          <w:color w:val="000000" w:themeColor="text1"/>
        </w:rPr>
        <w:t>EL SUJETO OBLIGADO</w:t>
      </w:r>
      <w:r w:rsidRPr="009D3429">
        <w:rPr>
          <w:rFonts w:ascii="Palatino Linotype" w:hAnsi="Palatino Linotype"/>
        </w:rPr>
        <w:t xml:space="preserve">, razón por la cual, dicha respuesta no satisfizo </w:t>
      </w:r>
      <w:r w:rsidRPr="009D3429">
        <w:rPr>
          <w:rFonts w:ascii="Palatino Linotype" w:hAnsi="Palatino Linotype"/>
          <w:b/>
        </w:rPr>
        <w:t>ni total ni parcialmente</w:t>
      </w:r>
      <w:r>
        <w:rPr>
          <w:rFonts w:ascii="Palatino Linotype" w:hAnsi="Palatino Linotype"/>
        </w:rPr>
        <w:t xml:space="preserve"> la información requerida bajo los principios de exhaustividad y congruencia. </w:t>
      </w:r>
    </w:p>
    <w:p w:rsidR="005555E8" w:rsidRDefault="005555E8" w:rsidP="005555E8">
      <w:pPr>
        <w:spacing w:line="360" w:lineRule="auto"/>
        <w:jc w:val="both"/>
        <w:rPr>
          <w:rFonts w:ascii="Palatino Linotype" w:hAnsi="Palatino Linotype"/>
        </w:rPr>
      </w:pP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4672AE">
        <w:rPr>
          <w:rFonts w:ascii="Palatino Linotype" w:hAnsi="Palatino Linotype"/>
          <w:b/>
          <w:i/>
          <w:sz w:val="22"/>
        </w:rPr>
        <w:t>PRINCIPIO DE CONGRUENCIA. QUE DEBE PREVALECER EN TODA RESOLUCIÓN JUDICIAL.</w:t>
      </w:r>
      <w:r w:rsidRPr="004672AE">
        <w:rPr>
          <w:rFonts w:ascii="Palatino Linotype" w:hAnsi="Palatino Linotype"/>
          <w:i/>
          <w:sz w:val="22"/>
        </w:rPr>
        <w:t xml:space="preserve"> En todo procedimiento judicial debe cuidarse que se cumpla con el principio de congruencia al resolver la controversia planteada, que en esencia está referido a que la sentencia sea congruente no sólo consigo misma sino también con la </w:t>
      </w:r>
      <w:proofErr w:type="spellStart"/>
      <w:r w:rsidRPr="004672AE">
        <w:rPr>
          <w:rFonts w:ascii="Palatino Linotype" w:hAnsi="Palatino Linotype"/>
          <w:i/>
          <w:sz w:val="22"/>
        </w:rPr>
        <w:t>litis</w:t>
      </w:r>
      <w:proofErr w:type="spellEnd"/>
      <w:r w:rsidRPr="004672AE">
        <w:rPr>
          <w:rFonts w:ascii="Palatino Linotype" w:hAnsi="Palatino Linotype"/>
          <w:i/>
          <w:sz w:val="22"/>
        </w:rPr>
        <w:t xml:space="preserve">, lo cual estriba en que al resolverse dicha controversia se haga atendiendo a lo planteado por las partes, sin omitir nada ni añadir cuestiones no hechas valer, ni contener consideraciones contrarias entre sí o con los puntos resolutivos. </w:t>
      </w: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4672AE">
        <w:rPr>
          <w:rFonts w:ascii="Palatino Linotype" w:hAnsi="Palatino Linotype"/>
          <w:i/>
          <w:sz w:val="22"/>
        </w:rPr>
        <w:t xml:space="preserve">PRIMER TRIBUNAL COLEGIADO EN MATERIA ADMINISTRATIVA DEL PRIMER CIRCUITO. </w:t>
      </w: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4672AE">
        <w:rPr>
          <w:rFonts w:ascii="Palatino Linotype" w:hAnsi="Palatino Linotype"/>
          <w:i/>
          <w:sz w:val="22"/>
        </w:rPr>
        <w:lastRenderedPageBreak/>
        <w:t>Incidente de suspensión (revisión) 731/90</w:t>
      </w:r>
      <w:proofErr w:type="gramStart"/>
      <w:r w:rsidRPr="004672AE">
        <w:rPr>
          <w:rFonts w:ascii="Palatino Linotype" w:hAnsi="Palatino Linotype"/>
          <w:i/>
          <w:sz w:val="22"/>
        </w:rPr>
        <w:t>.—</w:t>
      </w:r>
      <w:proofErr w:type="spellStart"/>
      <w:proofErr w:type="gramEnd"/>
      <w:r w:rsidRPr="004672AE">
        <w:rPr>
          <w:rFonts w:ascii="Palatino Linotype" w:hAnsi="Palatino Linotype"/>
          <w:i/>
          <w:sz w:val="22"/>
        </w:rPr>
        <w:t>Hidroequipos</w:t>
      </w:r>
      <w:proofErr w:type="spellEnd"/>
      <w:r w:rsidRPr="004672AE">
        <w:rPr>
          <w:rFonts w:ascii="Palatino Linotype" w:hAnsi="Palatino Linotype"/>
          <w:i/>
          <w:sz w:val="22"/>
        </w:rPr>
        <w:t xml:space="preserve"> y Motores, S.A.—25 de abril de 1990.—Unanimidad de votos.—Ponente: Samuel Hernández </w:t>
      </w:r>
      <w:proofErr w:type="spellStart"/>
      <w:r w:rsidRPr="004672AE">
        <w:rPr>
          <w:rFonts w:ascii="Palatino Linotype" w:hAnsi="Palatino Linotype"/>
          <w:i/>
          <w:sz w:val="22"/>
        </w:rPr>
        <w:t>Viazcán</w:t>
      </w:r>
      <w:proofErr w:type="spellEnd"/>
      <w:r w:rsidRPr="004672AE">
        <w:rPr>
          <w:rFonts w:ascii="Palatino Linotype" w:hAnsi="Palatino Linotype"/>
          <w:i/>
          <w:sz w:val="22"/>
        </w:rPr>
        <w:t xml:space="preserve">.—Secretario: Aristeo Martínez Cruz. </w:t>
      </w: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4672AE">
        <w:rPr>
          <w:rFonts w:ascii="Palatino Linotype" w:hAnsi="Palatino Linotype"/>
          <w:i/>
          <w:sz w:val="22"/>
        </w:rPr>
        <w:t>Amparo en revisión 1011/92</w:t>
      </w:r>
      <w:proofErr w:type="gramStart"/>
      <w:r w:rsidRPr="004672AE">
        <w:rPr>
          <w:rFonts w:ascii="Palatino Linotype" w:hAnsi="Palatino Linotype"/>
          <w:i/>
          <w:sz w:val="22"/>
        </w:rPr>
        <w:t>.—</w:t>
      </w:r>
      <w:proofErr w:type="gramEnd"/>
      <w:r w:rsidRPr="004672AE">
        <w:rPr>
          <w:rFonts w:ascii="Palatino Linotype" w:hAnsi="Palatino Linotype"/>
          <w:i/>
          <w:sz w:val="22"/>
        </w:rPr>
        <w:t xml:space="preserve">Leopoldo Vásquez de León.—5 de junio de 1992.—Unanimidad de votos.—Ponente: Samuel Hernández </w:t>
      </w:r>
      <w:proofErr w:type="spellStart"/>
      <w:r w:rsidRPr="004672AE">
        <w:rPr>
          <w:rFonts w:ascii="Palatino Linotype" w:hAnsi="Palatino Linotype"/>
          <w:i/>
          <w:sz w:val="22"/>
        </w:rPr>
        <w:t>Viazcán</w:t>
      </w:r>
      <w:proofErr w:type="spellEnd"/>
      <w:r w:rsidRPr="004672AE">
        <w:rPr>
          <w:rFonts w:ascii="Palatino Linotype" w:hAnsi="Palatino Linotype"/>
          <w:i/>
          <w:sz w:val="22"/>
        </w:rPr>
        <w:t xml:space="preserve">.—Secretario: Aristeo Martínez Cruz. </w:t>
      </w: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4672AE">
        <w:rPr>
          <w:rFonts w:ascii="Palatino Linotype" w:hAnsi="Palatino Linotype"/>
          <w:i/>
          <w:sz w:val="22"/>
        </w:rPr>
        <w:t>Amparo en revisión 1651/92</w:t>
      </w:r>
      <w:proofErr w:type="gramStart"/>
      <w:r w:rsidRPr="004672AE">
        <w:rPr>
          <w:rFonts w:ascii="Palatino Linotype" w:hAnsi="Palatino Linotype"/>
          <w:i/>
          <w:sz w:val="22"/>
        </w:rPr>
        <w:t>.—</w:t>
      </w:r>
      <w:proofErr w:type="gramEnd"/>
      <w:r w:rsidRPr="004672AE">
        <w:rPr>
          <w:rFonts w:ascii="Palatino Linotype" w:hAnsi="Palatino Linotype"/>
          <w:i/>
          <w:sz w:val="22"/>
        </w:rPr>
        <w:t xml:space="preserve">Óscar Armando Amarillo Romero.—17 de agosto de 1992.—Unanimidad de votos.—Ponente: Luis María Aguilar Morales.—Secretaria: Luz Cueto Martínez. </w:t>
      </w: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4672AE">
        <w:rPr>
          <w:rFonts w:ascii="Palatino Linotype" w:hAnsi="Palatino Linotype"/>
          <w:i/>
          <w:sz w:val="22"/>
        </w:rPr>
        <w:t>Amparo directo 6261/97</w:t>
      </w:r>
      <w:proofErr w:type="gramStart"/>
      <w:r w:rsidRPr="004672AE">
        <w:rPr>
          <w:rFonts w:ascii="Palatino Linotype" w:hAnsi="Palatino Linotype"/>
          <w:i/>
          <w:sz w:val="22"/>
        </w:rPr>
        <w:t>.—</w:t>
      </w:r>
      <w:proofErr w:type="gramEnd"/>
      <w:r w:rsidRPr="004672AE">
        <w:rPr>
          <w:rFonts w:ascii="Palatino Linotype" w:hAnsi="Palatino Linotype"/>
          <w:i/>
          <w:sz w:val="22"/>
        </w:rPr>
        <w:t xml:space="preserve">Productos Nacionales de Hule, S.A. de C.V.—23 de abril de 1998.—Unanimidad de votos.—Ponente: Samuel Hernández </w:t>
      </w:r>
      <w:proofErr w:type="spellStart"/>
      <w:r w:rsidRPr="004672AE">
        <w:rPr>
          <w:rFonts w:ascii="Palatino Linotype" w:hAnsi="Palatino Linotype"/>
          <w:i/>
          <w:sz w:val="22"/>
        </w:rPr>
        <w:t>Viazcán</w:t>
      </w:r>
      <w:proofErr w:type="spellEnd"/>
      <w:r w:rsidRPr="004672AE">
        <w:rPr>
          <w:rFonts w:ascii="Palatino Linotype" w:hAnsi="Palatino Linotype"/>
          <w:i/>
          <w:sz w:val="22"/>
        </w:rPr>
        <w:t xml:space="preserve">.—Secretario: Ricardo Martínez Carbajal. </w:t>
      </w: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4672AE">
        <w:rPr>
          <w:rFonts w:ascii="Palatino Linotype" w:hAnsi="Palatino Linotype"/>
          <w:i/>
          <w:sz w:val="22"/>
        </w:rPr>
        <w:t>Amparo directo 3701/97</w:t>
      </w:r>
      <w:proofErr w:type="gramStart"/>
      <w:r w:rsidRPr="004672AE">
        <w:rPr>
          <w:rFonts w:ascii="Palatino Linotype" w:hAnsi="Palatino Linotype"/>
          <w:i/>
          <w:sz w:val="22"/>
        </w:rPr>
        <w:t>.—</w:t>
      </w:r>
      <w:proofErr w:type="gramEnd"/>
      <w:r w:rsidRPr="004672AE">
        <w:rPr>
          <w:rFonts w:ascii="Palatino Linotype" w:hAnsi="Palatino Linotype"/>
          <w:i/>
          <w:sz w:val="22"/>
        </w:rPr>
        <w:t xml:space="preserve">Comisión Federal de Electricidad.—11 de mayo de 1998.—Unanimidad de votos.—Ponente: Samuel Hernández </w:t>
      </w:r>
      <w:proofErr w:type="spellStart"/>
      <w:r w:rsidRPr="004672AE">
        <w:rPr>
          <w:rFonts w:ascii="Palatino Linotype" w:hAnsi="Palatino Linotype"/>
          <w:i/>
          <w:sz w:val="22"/>
        </w:rPr>
        <w:t>Viazcán</w:t>
      </w:r>
      <w:proofErr w:type="spellEnd"/>
      <w:r w:rsidRPr="004672AE">
        <w:rPr>
          <w:rFonts w:ascii="Palatino Linotype" w:hAnsi="Palatino Linotype"/>
          <w:i/>
          <w:sz w:val="22"/>
        </w:rPr>
        <w:t xml:space="preserve">.—Secretario: Serafín Contreras Balderas. </w:t>
      </w:r>
    </w:p>
    <w:p w:rsid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4672AE">
        <w:rPr>
          <w:rFonts w:ascii="Palatino Linotype" w:hAnsi="Palatino Linotype"/>
          <w:i/>
          <w:sz w:val="22"/>
        </w:rPr>
        <w:t>Semanario Judicial de la Federación y su Gaceta, Novena Época, Tomo VIII, agosto de 1998, página 764, Tribunales Colegiados de Circuito, tesis I.1o.A. J/9; véase ejecutoria en el Semanario Judicial de la Federación y su Gaceta, Novena Época, Tomo VIII, agosto de 1998, página 764.</w:t>
      </w:r>
      <w:r w:rsidRPr="004672AE">
        <w:rPr>
          <w:rFonts w:ascii="Palatino Linotype" w:hAnsi="Palatino Linotype" w:cs="Arial"/>
          <w:i/>
          <w:sz w:val="22"/>
        </w:rPr>
        <w:t xml:space="preserve"> </w:t>
      </w:r>
    </w:p>
    <w:p w:rsid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4672AE">
        <w:rPr>
          <w:rFonts w:ascii="Palatino Linotype" w:hAnsi="Palatino Linotype" w:cs="Arial"/>
          <w:b/>
          <w:i/>
          <w:sz w:val="22"/>
        </w:rPr>
        <w:t>CONGRUENCIA Y EXHAUSTIVIDAD EN LAS SENTENCIAS. PRINCIPIOS DE</w:t>
      </w:r>
      <w:r w:rsidRPr="004672AE">
        <w:rPr>
          <w:rFonts w:ascii="Palatino Linotype" w:hAnsi="Palatino Linotype" w:cs="Arial"/>
          <w:i/>
          <w:sz w:val="22"/>
        </w:rPr>
        <w:t>. Los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principios de congruencia y exhaustividad de las sentencias, consagrados en el artículo 209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del Código de Procedimientos Civiles del Estado de México, obligan al juzgador a decidir las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controversias planteadas y contestaciones formuladas, así como las demás pretensiones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deducidas oportunamente en el pleito, de tal forma que se condene o absuelva al demandado,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resolviendo sobre todos y cada uno de los puntos litigiosos que hubiesen sido materia del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debate; en esas condiciones, si la responsable dicta una resolución tomando en cuenta sólo de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manera parcial la demanda y contestación formuladas, tal sentencia no es precisa ni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congruente y por tanto, viola las garantías individuales del peticionario.</w:t>
      </w: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4672AE">
        <w:rPr>
          <w:rFonts w:ascii="Palatino Linotype" w:hAnsi="Palatino Linotype" w:cs="Arial"/>
          <w:i/>
          <w:sz w:val="22"/>
        </w:rPr>
        <w:t>PRIMER TRIBUNAL COLEGIADO DEL SEGUNDO CIRCUITO.</w:t>
      </w:r>
    </w:p>
    <w:p w:rsidR="005555E8" w:rsidRPr="004672AE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5555E8" w:rsidRDefault="005555E8" w:rsidP="005555E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4672AE">
        <w:rPr>
          <w:rFonts w:ascii="Palatino Linotype" w:hAnsi="Palatino Linotype" w:cs="Arial"/>
          <w:i/>
          <w:sz w:val="22"/>
        </w:rPr>
        <w:t>Amparo directo 872/93. Rosa Rubí Hernández. 4 de enero de 1994. Unanimidad de votos.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4672AE">
        <w:rPr>
          <w:rFonts w:ascii="Palatino Linotype" w:hAnsi="Palatino Linotype" w:cs="Arial"/>
          <w:i/>
          <w:sz w:val="22"/>
        </w:rPr>
        <w:t>Ponente: Raúl Díaz Infante Aranda. Secretario: Rigoberto F. González Torres</w:t>
      </w:r>
    </w:p>
    <w:p w:rsidR="005555E8" w:rsidRPr="009D3429" w:rsidRDefault="005555E8" w:rsidP="005555E8">
      <w:pPr>
        <w:spacing w:line="360" w:lineRule="auto"/>
        <w:jc w:val="both"/>
        <w:rPr>
          <w:rFonts w:ascii="Palatino Linotype" w:hAnsi="Palatino Linotype"/>
        </w:rPr>
      </w:pPr>
    </w:p>
    <w:p w:rsidR="00B71A4B" w:rsidRDefault="00B71A4B" w:rsidP="002F7710">
      <w:pPr>
        <w:spacing w:line="360" w:lineRule="auto"/>
        <w:jc w:val="both"/>
        <w:rPr>
          <w:rFonts w:ascii="Palatino Linotype" w:hAnsi="Palatino Linotype"/>
        </w:rPr>
      </w:pPr>
    </w:p>
    <w:p w:rsidR="00B2492D" w:rsidRPr="009D3429" w:rsidRDefault="00C94710" w:rsidP="002F7710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/>
        </w:rPr>
        <w:lastRenderedPageBreak/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Pr="009D3429">
        <w:rPr>
          <w:rFonts w:ascii="Palatino Linotype" w:hAnsi="Palatino Linotype"/>
        </w:rPr>
        <w:t xml:space="preserve"> ya que lo</w:t>
      </w:r>
      <w:r w:rsidR="00B2492D" w:rsidRPr="009D3429">
        <w:rPr>
          <w:rFonts w:ascii="Palatino Linotype" w:hAnsi="Palatino Linotype"/>
        </w:rPr>
        <w:t xml:space="preserve"> anterior, resulta aún más evidente </w:t>
      </w:r>
      <w:r w:rsidRPr="009D3429">
        <w:rPr>
          <w:rFonts w:ascii="Palatino Linotype" w:hAnsi="Palatino Linotype"/>
        </w:rPr>
        <w:t xml:space="preserve">debido a que </w:t>
      </w:r>
      <w:r w:rsidR="00B2492D" w:rsidRPr="009D3429">
        <w:rPr>
          <w:rFonts w:ascii="Palatino Linotype" w:hAnsi="Palatino Linotype"/>
        </w:rPr>
        <w:t xml:space="preserve">el proyecto sometido a votación del Pleno planteó </w:t>
      </w:r>
      <w:r w:rsidR="00E54183" w:rsidRPr="009D3429">
        <w:rPr>
          <w:rFonts w:ascii="Palatino Linotype" w:hAnsi="Palatino Linotype"/>
        </w:rPr>
        <w:t>establecer</w:t>
      </w:r>
      <w:r w:rsidR="00B2492D" w:rsidRPr="009D3429">
        <w:rPr>
          <w:rFonts w:ascii="Palatino Linotype" w:hAnsi="Palatino Linotype"/>
        </w:rPr>
        <w:t xml:space="preserve"> la entrega a</w:t>
      </w:r>
      <w:r w:rsidR="002D3E44">
        <w:rPr>
          <w:rFonts w:ascii="Palatino Linotype" w:hAnsi="Palatino Linotype"/>
        </w:rPr>
        <w:t>l</w:t>
      </w:r>
      <w:r w:rsidR="00B2492D" w:rsidRPr="009D3429">
        <w:rPr>
          <w:rFonts w:ascii="Palatino Linotype" w:hAnsi="Palatino Linotype"/>
        </w:rPr>
        <w:t xml:space="preserve"> </w:t>
      </w:r>
      <w:r w:rsidR="00B2492D" w:rsidRPr="009D3429">
        <w:rPr>
          <w:rFonts w:ascii="Palatino Linotype" w:hAnsi="Palatino Linotype"/>
          <w:b/>
        </w:rPr>
        <w:t>RECURRENTE</w:t>
      </w:r>
      <w:r w:rsidR="00B2492D" w:rsidRPr="009D3429">
        <w:rPr>
          <w:rFonts w:ascii="Palatino Linotype" w:hAnsi="Palatino Linotype"/>
        </w:rPr>
        <w:t xml:space="preserve"> de la información solicitada, </w:t>
      </w:r>
      <w:r w:rsidR="00B2492D" w:rsidRPr="009D3429">
        <w:rPr>
          <w:rFonts w:ascii="Palatino Linotype" w:hAnsi="Palatino Linotype" w:cs="Arial"/>
        </w:rPr>
        <w:t xml:space="preserve">con lo que se advierte que al ordenar </w:t>
      </w:r>
      <w:r w:rsidR="00E54183" w:rsidRPr="009D3429">
        <w:rPr>
          <w:rFonts w:ascii="Palatino Linotype" w:hAnsi="Palatino Linotype" w:cs="Arial"/>
        </w:rPr>
        <w:t>completamente</w:t>
      </w:r>
      <w:r w:rsidR="00B2492D" w:rsidRPr="009D3429">
        <w:rPr>
          <w:rFonts w:ascii="Palatino Linotype" w:hAnsi="Palatino Linotype" w:cs="Arial"/>
        </w:rPr>
        <w:t xml:space="preserve"> lo solicitado por el particular a través del </w:t>
      </w:r>
      <w:r w:rsidR="00B2492D" w:rsidRPr="009D3429">
        <w:rPr>
          <w:rFonts w:ascii="Palatino Linotype" w:hAnsi="Palatino Linotype" w:cs="Arial"/>
          <w:b/>
        </w:rPr>
        <w:t>SAIMEX,</w:t>
      </w:r>
      <w:r w:rsidR="00B2492D" w:rsidRPr="009D3429">
        <w:rPr>
          <w:rFonts w:ascii="Palatino Linotype" w:hAnsi="Palatino Linotype" w:cs="Arial"/>
        </w:rPr>
        <w:t xml:space="preserve"> la </w:t>
      </w:r>
      <w:r w:rsidR="00A05D38">
        <w:rPr>
          <w:rFonts w:ascii="Palatino Linotype" w:hAnsi="Palatino Linotype" w:cs="Arial"/>
        </w:rPr>
        <w:t xml:space="preserve">información proporcionada por </w:t>
      </w:r>
      <w:r w:rsidR="00A05D38">
        <w:rPr>
          <w:rFonts w:ascii="Palatino Linotype" w:hAnsi="Palatino Linotype" w:cs="Arial"/>
          <w:b/>
        </w:rPr>
        <w:t>EL</w:t>
      </w:r>
      <w:r w:rsidR="00B2492D" w:rsidRPr="009D3429">
        <w:rPr>
          <w:rFonts w:ascii="Palatino Linotype" w:hAnsi="Palatino Linotype" w:cs="Arial"/>
        </w:rPr>
        <w:t xml:space="preserve"> </w:t>
      </w:r>
      <w:r w:rsidR="00B2492D" w:rsidRPr="009D3429">
        <w:rPr>
          <w:rFonts w:ascii="Palatino Linotype" w:hAnsi="Palatino Linotype" w:cs="Arial"/>
          <w:b/>
        </w:rPr>
        <w:t>SUJETO OBLIGADO</w:t>
      </w:r>
      <w:r w:rsidR="00B2492D" w:rsidRPr="009D3429">
        <w:rPr>
          <w:rFonts w:ascii="Palatino Linotype" w:hAnsi="Palatino Linotype" w:cs="Arial"/>
        </w:rPr>
        <w:t xml:space="preserve"> no colmó </w:t>
      </w:r>
      <w:r w:rsidR="00E54183" w:rsidRPr="009D3429">
        <w:rPr>
          <w:rFonts w:ascii="Palatino Linotype" w:hAnsi="Palatino Linotype" w:cs="Arial"/>
        </w:rPr>
        <w:t>ni total ni parcialmente</w:t>
      </w:r>
      <w:r w:rsidR="00B2492D" w:rsidRPr="009D3429">
        <w:rPr>
          <w:rFonts w:ascii="Palatino Linotype" w:hAnsi="Palatino Linotype" w:cs="Arial"/>
        </w:rPr>
        <w:t xml:space="preserve"> lo requerido; por lo tanto, para la</w:t>
      </w:r>
      <w:r w:rsidR="00ED622F" w:rsidRPr="009D3429">
        <w:rPr>
          <w:rFonts w:ascii="Palatino Linotype" w:hAnsi="Palatino Linotype" w:cs="Arial"/>
        </w:rPr>
        <w:t xml:space="preserve"> que suscribe</w:t>
      </w:r>
      <w:r w:rsidR="00B2492D" w:rsidRPr="009D3429">
        <w:rPr>
          <w:rFonts w:ascii="Palatino Linotype" w:hAnsi="Palatino Linotype" w:cs="Arial"/>
        </w:rPr>
        <w:t xml:space="preserve">, lo conducente era </w:t>
      </w:r>
      <w:r w:rsidR="00B2492D" w:rsidRPr="009D3429">
        <w:rPr>
          <w:rFonts w:ascii="Palatino Linotype" w:hAnsi="Palatino Linotype" w:cs="Arial"/>
          <w:b/>
        </w:rPr>
        <w:t>REVOCAR</w:t>
      </w:r>
      <w:r w:rsidR="00B2492D" w:rsidRPr="009D3429">
        <w:rPr>
          <w:rFonts w:ascii="Palatino Linotype" w:hAnsi="Palatino Linotype" w:cs="Arial"/>
        </w:rPr>
        <w:t xml:space="preserve"> la respuesta del </w:t>
      </w:r>
      <w:r w:rsidR="00B2492D" w:rsidRPr="009D3429">
        <w:rPr>
          <w:rFonts w:ascii="Palatino Linotype" w:hAnsi="Palatino Linotype" w:cs="Arial"/>
          <w:b/>
        </w:rPr>
        <w:t>SUJETO OBLIGADO</w:t>
      </w:r>
      <w:r w:rsidR="00B2492D" w:rsidRPr="009D3429">
        <w:rPr>
          <w:rFonts w:ascii="Palatino Linotype" w:hAnsi="Palatino Linotype" w:cs="Arial"/>
        </w:rPr>
        <w:t>.</w:t>
      </w:r>
      <w:r w:rsidR="002A647C">
        <w:rPr>
          <w:rFonts w:ascii="Palatino Linotype" w:hAnsi="Palatino Linotype" w:cs="Arial"/>
        </w:rPr>
        <w:t xml:space="preserve"> </w:t>
      </w:r>
    </w:p>
    <w:p w:rsidR="00E54183" w:rsidRPr="009D3429" w:rsidRDefault="00E54183" w:rsidP="002F7710">
      <w:pPr>
        <w:spacing w:line="360" w:lineRule="auto"/>
        <w:jc w:val="both"/>
        <w:rPr>
          <w:rFonts w:ascii="Palatino Linotype" w:hAnsi="Palatino Linotype" w:cs="Arial"/>
        </w:rPr>
      </w:pPr>
    </w:p>
    <w:p w:rsidR="00E54183" w:rsidRDefault="00E54183" w:rsidP="002F7710">
      <w:pPr>
        <w:spacing w:line="360" w:lineRule="auto"/>
        <w:jc w:val="both"/>
        <w:rPr>
          <w:rFonts w:ascii="Palatino Linotype" w:hAnsi="Palatino Linotype" w:cs="Arial"/>
        </w:rPr>
      </w:pPr>
    </w:p>
    <w:p w:rsidR="00CF1343" w:rsidRDefault="00CF1343" w:rsidP="002F7710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470F2A" w:rsidRDefault="00470F2A" w:rsidP="002D3E4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D622F" w:rsidRPr="009D3429" w:rsidRDefault="00ED622F" w:rsidP="002D3E44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ED622F" w:rsidRDefault="00ED622F" w:rsidP="00470F2A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2A647C" w:rsidRPr="009D3429" w:rsidRDefault="002A647C" w:rsidP="002A647C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  <w:bookmarkStart w:id="0" w:name="_GoBack"/>
        <w:bookmarkEnd w:id="0"/>
      </w:tr>
    </w:tbl>
    <w:p w:rsidR="00B2492D" w:rsidRPr="009D3429" w:rsidRDefault="00B2492D" w:rsidP="002F7710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</w:p>
    <w:p w:rsidR="002D3E44" w:rsidRDefault="002D3E44" w:rsidP="002F7710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</w:p>
    <w:p w:rsidR="00B2492D" w:rsidRPr="00CF1343" w:rsidRDefault="00B2492D" w:rsidP="002D3E44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Esta hoja corresponde al voto particular emitido en</w:t>
      </w:r>
      <w:r w:rsidR="002D3E44">
        <w:rPr>
          <w:rFonts w:ascii="Palatino Linotype" w:eastAsia="Calibri" w:hAnsi="Palatino Linotype" w:cs="Arial"/>
          <w:color w:val="000000" w:themeColor="text1"/>
          <w:sz w:val="22"/>
        </w:rPr>
        <w:t xml:space="preserve"> la resolución de los </w:t>
      </w: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recurso</w:t>
      </w:r>
      <w:r w:rsidR="002D3E44">
        <w:rPr>
          <w:rFonts w:ascii="Palatino Linotype" w:eastAsia="Calibri" w:hAnsi="Palatino Linotype" w:cs="Arial"/>
          <w:color w:val="000000" w:themeColor="text1"/>
          <w:sz w:val="22"/>
        </w:rPr>
        <w:t>s</w:t>
      </w:r>
      <w:r w:rsidRPr="00CF1343">
        <w:rPr>
          <w:rFonts w:ascii="Palatino Linotype" w:eastAsia="Calibri" w:hAnsi="Palatino Linotype" w:cs="Arial"/>
          <w:color w:val="000000" w:themeColor="text1"/>
          <w:sz w:val="22"/>
        </w:rPr>
        <w:t xml:space="preserve"> de revisión </w:t>
      </w:r>
      <w:r w:rsidR="002D3E44" w:rsidRPr="002D3E44">
        <w:rPr>
          <w:rFonts w:ascii="Palatino Linotype" w:eastAsia="Calibri" w:hAnsi="Palatino Linotype" w:cs="Arial"/>
          <w:color w:val="000000" w:themeColor="text1"/>
          <w:sz w:val="22"/>
        </w:rPr>
        <w:t>02848/INFOEM/IP/RR/2018 y 03027/INFOEM/IP/RR/2018 acumulados</w:t>
      </w: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, aprobad</w:t>
      </w:r>
      <w:r w:rsidR="002D3E44">
        <w:rPr>
          <w:rFonts w:ascii="Palatino Linotype" w:eastAsia="Calibri" w:hAnsi="Palatino Linotype" w:cs="Arial"/>
          <w:color w:val="000000" w:themeColor="text1"/>
          <w:sz w:val="22"/>
        </w:rPr>
        <w:t>a el tres de octubre de do</w:t>
      </w:r>
      <w:r w:rsidR="00CF1343">
        <w:rPr>
          <w:rFonts w:ascii="Palatino Linotype" w:eastAsia="Calibri" w:hAnsi="Palatino Linotype" w:cs="Arial"/>
          <w:color w:val="000000" w:themeColor="text1"/>
          <w:sz w:val="22"/>
        </w:rPr>
        <w:t>s mil dieciocho</w:t>
      </w: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.</w:t>
      </w:r>
    </w:p>
    <w:p w:rsidR="00847315" w:rsidRPr="00CF1343" w:rsidRDefault="00B2492D" w:rsidP="002D3E44">
      <w:pPr>
        <w:jc w:val="both"/>
        <w:rPr>
          <w:sz w:val="22"/>
        </w:rPr>
      </w:pPr>
      <w:r w:rsidRPr="00CF1343">
        <w:rPr>
          <w:rFonts w:ascii="Palatino Linotype" w:eastAsia="Calibri" w:hAnsi="Palatino Linotype" w:cs="Arial"/>
          <w:color w:val="000000" w:themeColor="text1"/>
          <w:sz w:val="22"/>
        </w:rPr>
        <w:t>YSM/A</w:t>
      </w:r>
      <w:r w:rsidR="006A1F35" w:rsidRPr="00CF1343">
        <w:rPr>
          <w:rFonts w:ascii="Palatino Linotype" w:eastAsia="Calibri" w:hAnsi="Palatino Linotype" w:cs="Arial"/>
          <w:color w:val="000000" w:themeColor="text1"/>
          <w:sz w:val="22"/>
        </w:rPr>
        <w:t>TU</w:t>
      </w:r>
    </w:p>
    <w:sectPr w:rsidR="00847315" w:rsidRPr="00CF1343" w:rsidSect="00432F5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6B6" w:rsidRDefault="00E216B6" w:rsidP="00B2492D">
      <w:r>
        <w:separator/>
      </w:r>
    </w:p>
  </w:endnote>
  <w:endnote w:type="continuationSeparator" w:id="0">
    <w:p w:rsidR="00E216B6" w:rsidRDefault="00E216B6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2A647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2A647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2A647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2A647C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A647C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A647C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2A647C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6B6" w:rsidRDefault="00E216B6" w:rsidP="00B2492D">
      <w:r>
        <w:separator/>
      </w:r>
    </w:p>
  </w:footnote>
  <w:footnote w:type="continuationSeparator" w:id="0">
    <w:p w:rsidR="00E216B6" w:rsidRDefault="00E216B6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2A647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B5A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-727158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9110E4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</w:t>
          </w:r>
          <w:r w:rsidR="005B5A8B">
            <w:rPr>
              <w:rFonts w:ascii="Palatino Linotype" w:hAnsi="Palatino Linotype" w:cs="Arial"/>
              <w:sz w:val="20"/>
              <w:szCs w:val="20"/>
            </w:rPr>
            <w:t>VOTO PARTICULAR</w:t>
          </w:r>
        </w:p>
      </w:tc>
    </w:tr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5B5A8B" w:rsidP="00432F50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right"/>
            <w:rPr>
              <w:rFonts w:ascii="Palatino Linotype" w:hAnsi="Palatino Linotype" w:cs="Arial"/>
              <w:sz w:val="20"/>
              <w:szCs w:val="20"/>
            </w:rPr>
          </w:pPr>
          <w:r w:rsidRPr="00801C8F">
            <w:rPr>
              <w:rFonts w:ascii="Palatino Linotype" w:hAnsi="Palatino Linotype" w:cs="Arial"/>
              <w:sz w:val="20"/>
              <w:szCs w:val="20"/>
            </w:rPr>
            <w:t>RECURSO</w:t>
          </w:r>
          <w:r w:rsidR="00432F50">
            <w:rPr>
              <w:rFonts w:ascii="Palatino Linotype" w:hAnsi="Palatino Linotype" w:cs="Arial"/>
              <w:sz w:val="20"/>
              <w:szCs w:val="20"/>
            </w:rPr>
            <w:t>S</w:t>
          </w:r>
          <w:r w:rsidRPr="00801C8F">
            <w:rPr>
              <w:rFonts w:ascii="Palatino Linotype" w:hAnsi="Palatino Linotype" w:cs="Arial"/>
              <w:sz w:val="20"/>
              <w:szCs w:val="20"/>
            </w:rPr>
            <w:t xml:space="preserve"> DE REVISIÓN </w:t>
          </w:r>
          <w:r w:rsidR="00432F50" w:rsidRPr="00432F50">
            <w:rPr>
              <w:rFonts w:ascii="Palatino Linotype" w:hAnsi="Palatino Linotype" w:cs="Arial"/>
              <w:sz w:val="20"/>
              <w:szCs w:val="20"/>
            </w:rPr>
            <w:t xml:space="preserve">02848/INFOEM/IP/RR/2018 </w:t>
          </w:r>
          <w:r w:rsidR="00432F50">
            <w:rPr>
              <w:rFonts w:ascii="Palatino Linotype" w:hAnsi="Palatino Linotype" w:cs="Arial"/>
              <w:sz w:val="20"/>
              <w:szCs w:val="20"/>
            </w:rPr>
            <w:t>Y</w:t>
          </w:r>
          <w:r w:rsidR="00432F50" w:rsidRPr="00432F50">
            <w:rPr>
              <w:rFonts w:ascii="Palatino Linotype" w:hAnsi="Palatino Linotype" w:cs="Arial"/>
              <w:sz w:val="20"/>
              <w:szCs w:val="20"/>
            </w:rPr>
            <w:t xml:space="preserve"> 03027/INFOEM/IP/RR/2018</w:t>
          </w:r>
          <w:r w:rsidR="00432F50">
            <w:rPr>
              <w:rFonts w:ascii="Palatino Linotype" w:hAnsi="Palatino Linotype" w:cs="Arial"/>
              <w:sz w:val="20"/>
              <w:szCs w:val="20"/>
            </w:rPr>
            <w:t xml:space="preserve"> ACUMULADOS</w:t>
          </w:r>
        </w:p>
      </w:tc>
    </w:tr>
  </w:tbl>
  <w:p w:rsidR="00E46383" w:rsidRDefault="002A647C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066B13" w:rsidRDefault="002A647C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70.3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2A647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02E0"/>
    <w:multiLevelType w:val="hybridMultilevel"/>
    <w:tmpl w:val="17E64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86CEA"/>
    <w:rsid w:val="00124FC4"/>
    <w:rsid w:val="00216380"/>
    <w:rsid w:val="00296C85"/>
    <w:rsid w:val="002A647C"/>
    <w:rsid w:val="002D3E44"/>
    <w:rsid w:val="002F7710"/>
    <w:rsid w:val="00311E8E"/>
    <w:rsid w:val="00324EBE"/>
    <w:rsid w:val="003C2F6A"/>
    <w:rsid w:val="003F4C4C"/>
    <w:rsid w:val="00432F50"/>
    <w:rsid w:val="00437359"/>
    <w:rsid w:val="00470F2A"/>
    <w:rsid w:val="00472B04"/>
    <w:rsid w:val="004F77DC"/>
    <w:rsid w:val="0053148C"/>
    <w:rsid w:val="00534623"/>
    <w:rsid w:val="005555E8"/>
    <w:rsid w:val="005A4D7F"/>
    <w:rsid w:val="005B5027"/>
    <w:rsid w:val="005B5A8B"/>
    <w:rsid w:val="00654FE9"/>
    <w:rsid w:val="00674B2F"/>
    <w:rsid w:val="006801D4"/>
    <w:rsid w:val="006A1F35"/>
    <w:rsid w:val="006B30CD"/>
    <w:rsid w:val="00704422"/>
    <w:rsid w:val="00777C87"/>
    <w:rsid w:val="007C26E9"/>
    <w:rsid w:val="007C7A0C"/>
    <w:rsid w:val="00811B0B"/>
    <w:rsid w:val="00864D3F"/>
    <w:rsid w:val="008A35FA"/>
    <w:rsid w:val="008B0732"/>
    <w:rsid w:val="009110E4"/>
    <w:rsid w:val="009379FA"/>
    <w:rsid w:val="00973992"/>
    <w:rsid w:val="00990B93"/>
    <w:rsid w:val="009C4594"/>
    <w:rsid w:val="009D3429"/>
    <w:rsid w:val="009D7BAE"/>
    <w:rsid w:val="00A05D38"/>
    <w:rsid w:val="00A51F16"/>
    <w:rsid w:val="00A65E45"/>
    <w:rsid w:val="00A96975"/>
    <w:rsid w:val="00AC0EBE"/>
    <w:rsid w:val="00B2492D"/>
    <w:rsid w:val="00B71A4B"/>
    <w:rsid w:val="00B85728"/>
    <w:rsid w:val="00BE5708"/>
    <w:rsid w:val="00BF2A76"/>
    <w:rsid w:val="00C723C1"/>
    <w:rsid w:val="00C94710"/>
    <w:rsid w:val="00CA6DA2"/>
    <w:rsid w:val="00CB7180"/>
    <w:rsid w:val="00CE0D21"/>
    <w:rsid w:val="00CF1343"/>
    <w:rsid w:val="00D44FBB"/>
    <w:rsid w:val="00D724F4"/>
    <w:rsid w:val="00E216B6"/>
    <w:rsid w:val="00E54183"/>
    <w:rsid w:val="00E62EAA"/>
    <w:rsid w:val="00ED622F"/>
    <w:rsid w:val="00EF0525"/>
    <w:rsid w:val="00F64CC1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B2492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72"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1237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USUARIO</cp:lastModifiedBy>
  <cp:revision>5</cp:revision>
  <cp:lastPrinted>2018-10-08T15:33:00Z</cp:lastPrinted>
  <dcterms:created xsi:type="dcterms:W3CDTF">2018-10-05T18:24:00Z</dcterms:created>
  <dcterms:modified xsi:type="dcterms:W3CDTF">2018-11-21T02:43:00Z</dcterms:modified>
</cp:coreProperties>
</file>